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F7" w:rsidRDefault="001A5D6A" w:rsidP="00897AF7">
      <w:pPr>
        <w:ind w:firstLine="720"/>
        <w:jc w:val="center"/>
        <w:rPr>
          <w:bCs/>
          <w:u w:val="single"/>
          <w:lang w:val="en-US"/>
        </w:rPr>
      </w:pPr>
      <w:r>
        <w:rPr>
          <w:rStyle w:val="shorttext"/>
          <w:color w:val="222222"/>
          <w:lang w:val="en"/>
        </w:rPr>
        <w:t xml:space="preserve">Home tasks Modern </w:t>
      </w:r>
      <w:proofErr w:type="gramStart"/>
      <w:r>
        <w:rPr>
          <w:rStyle w:val="shorttext"/>
          <w:color w:val="222222"/>
          <w:lang w:val="en"/>
        </w:rPr>
        <w:t xml:space="preserve">methods </w:t>
      </w:r>
      <w:r w:rsidR="00897AF7">
        <w:rPr>
          <w:lang w:val="en-US"/>
        </w:rPr>
        <w:t xml:space="preserve"> biotechnology</w:t>
      </w:r>
      <w:proofErr w:type="gramEnd"/>
    </w:p>
    <w:p w:rsidR="008C29D2" w:rsidRPr="00897AF7" w:rsidRDefault="008C29D2">
      <w:pPr>
        <w:rPr>
          <w:lang w:val="en-US"/>
        </w:rPr>
      </w:pPr>
      <w:bookmarkStart w:id="0" w:name="_GoBack"/>
      <w:bookmarkEnd w:id="0"/>
    </w:p>
    <w:p w:rsidR="00E0797F" w:rsidRDefault="00E0797F" w:rsidP="00E0797F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rStyle w:val="hps"/>
          <w:lang w:val="en-US"/>
        </w:rPr>
        <w:t>Specialty</w:t>
      </w:r>
      <w:r>
        <w:rPr>
          <w:color w:val="000000"/>
          <w:lang w:val="en-US"/>
        </w:rPr>
        <w:t xml:space="preserve"> «</w:t>
      </w:r>
      <w:proofErr w:type="gramStart"/>
      <w:r>
        <w:rPr>
          <w:color w:val="000000"/>
          <w:lang w:val="en-US"/>
        </w:rPr>
        <w:t xml:space="preserve">7M05201  </w:t>
      </w:r>
      <w:r>
        <w:rPr>
          <w:b/>
          <w:bCs/>
          <w:lang w:val="en-US"/>
        </w:rPr>
        <w:t>Environmental</w:t>
      </w:r>
      <w:proofErr w:type="gramEnd"/>
      <w:r>
        <w:rPr>
          <w:b/>
          <w:bCs/>
          <w:lang w:val="en-US"/>
        </w:rPr>
        <w:t xml:space="preserve"> biotechnology</w:t>
      </w:r>
    </w:p>
    <w:p w:rsidR="00E0797F" w:rsidRDefault="00E0797F" w:rsidP="00E0797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…. Spring semester </w:t>
      </w:r>
    </w:p>
    <w:p w:rsidR="00E0797F" w:rsidRDefault="00E0797F" w:rsidP="00E0797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Code of discipline 5302</w:t>
      </w:r>
    </w:p>
    <w:p w:rsidR="00E0797F" w:rsidRDefault="00E0797F" w:rsidP="00E0797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2019-2020 teaching year </w:t>
      </w:r>
    </w:p>
    <w:p w:rsidR="00E0797F" w:rsidRDefault="00E0797F" w:rsidP="00E0797F">
      <w:pPr>
        <w:jc w:val="center"/>
        <w:rPr>
          <w:b/>
          <w:bCs/>
          <w:lang w:val="en-US"/>
        </w:rPr>
      </w:pPr>
    </w:p>
    <w:p w:rsidR="00E0797F" w:rsidRPr="001D29F1" w:rsidRDefault="00E0797F" w:rsidP="00E0797F">
      <w:pPr>
        <w:jc w:val="center"/>
        <w:rPr>
          <w:b/>
          <w:bCs/>
          <w:i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565"/>
      </w:tblGrid>
      <w:tr w:rsidR="00E0797F" w:rsidRPr="001D29F1" w:rsidTr="00E0797F">
        <w:tc>
          <w:tcPr>
            <w:tcW w:w="3114" w:type="dxa"/>
          </w:tcPr>
          <w:p w:rsidR="00E0797F" w:rsidRPr="001D29F1" w:rsidRDefault="00E0797F">
            <w:pPr>
              <w:rPr>
                <w:b/>
                <w:i/>
                <w:lang w:val="en-US"/>
              </w:rPr>
            </w:pPr>
            <w:r w:rsidRPr="001D29F1">
              <w:rPr>
                <w:b/>
                <w:i/>
                <w:lang w:val="en-US"/>
              </w:rPr>
              <w:t xml:space="preserve">Week </w:t>
            </w:r>
            <w:r w:rsidR="001D29F1">
              <w:rPr>
                <w:b/>
                <w:i/>
                <w:lang w:val="en-US"/>
              </w:rPr>
              <w:t xml:space="preserve">of presentation </w:t>
            </w:r>
          </w:p>
        </w:tc>
        <w:tc>
          <w:tcPr>
            <w:tcW w:w="6565" w:type="dxa"/>
          </w:tcPr>
          <w:p w:rsidR="00E0797F" w:rsidRPr="001D29F1" w:rsidRDefault="00E0797F" w:rsidP="00E0797F">
            <w:pPr>
              <w:rPr>
                <w:b/>
                <w:i/>
                <w:lang w:val="en-US"/>
              </w:rPr>
            </w:pPr>
            <w:r w:rsidRPr="001D29F1">
              <w:rPr>
                <w:b/>
                <w:i/>
                <w:szCs w:val="22"/>
                <w:lang w:val="en-US"/>
              </w:rPr>
              <w:t>H</w:t>
            </w:r>
            <w:r w:rsidRPr="001D29F1">
              <w:rPr>
                <w:b/>
                <w:i/>
                <w:szCs w:val="22"/>
                <w:lang w:val="en-US"/>
              </w:rPr>
              <w:t>ome task</w:t>
            </w:r>
            <w:r w:rsidR="001D29F1" w:rsidRPr="001D29F1">
              <w:rPr>
                <w:b/>
                <w:i/>
                <w:szCs w:val="22"/>
                <w:lang w:val="en-US"/>
              </w:rPr>
              <w:t xml:space="preserve"> title </w:t>
            </w:r>
          </w:p>
        </w:tc>
      </w:tr>
      <w:tr w:rsidR="00E0797F" w:rsidTr="00E0797F">
        <w:tc>
          <w:tcPr>
            <w:tcW w:w="3114" w:type="dxa"/>
          </w:tcPr>
          <w:p w:rsidR="00E0797F" w:rsidRDefault="001D29F1" w:rsidP="001D29F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65" w:type="dxa"/>
          </w:tcPr>
          <w:p w:rsidR="00E0797F" w:rsidRDefault="00E0797F">
            <w:pPr>
              <w:rPr>
                <w:lang w:val="en-US"/>
              </w:rPr>
            </w:pPr>
            <w:r>
              <w:rPr>
                <w:rStyle w:val="hps"/>
                <w:i/>
                <w:color w:val="333333"/>
                <w:lang w:val="en-US"/>
              </w:rPr>
              <w:t>Assignments</w:t>
            </w:r>
            <w:r>
              <w:rPr>
                <w:i/>
                <w:lang w:val="en-US"/>
              </w:rPr>
              <w:t xml:space="preserve"> </w:t>
            </w:r>
            <w:r>
              <w:rPr>
                <w:rStyle w:val="hps"/>
                <w:i/>
                <w:lang w:val="en-US"/>
              </w:rPr>
              <w:t>for the CDS</w:t>
            </w:r>
            <w:r>
              <w:rPr>
                <w:rStyle w:val="hps"/>
                <w:lang w:val="en-US"/>
              </w:rPr>
              <w:t xml:space="preserve"> 1. </w:t>
            </w:r>
            <w:r>
              <w:rPr>
                <w:bCs/>
                <w:color w:val="000000"/>
                <w:lang w:val="en-US"/>
              </w:rPr>
              <w:t>U</w:t>
            </w:r>
            <w:r>
              <w:rPr>
                <w:color w:val="000000"/>
                <w:lang w:val="en-US"/>
              </w:rPr>
              <w:t>se of m</w:t>
            </w:r>
            <w:r>
              <w:rPr>
                <w:rStyle w:val="hps"/>
                <w:bCs/>
                <w:color w:val="333333"/>
                <w:lang w:val="en-US"/>
              </w:rPr>
              <w:t>odern biotechnological methods in agriculture</w:t>
            </w:r>
            <w:r>
              <w:rPr>
                <w:i/>
                <w:iCs/>
                <w:color w:val="000000"/>
                <w:lang w:val="kk-KZ"/>
              </w:rPr>
              <w:t xml:space="preserve">. </w:t>
            </w:r>
            <w:r>
              <w:rPr>
                <w:rStyle w:val="hps"/>
                <w:lang w:val="en-US"/>
              </w:rPr>
              <w:t xml:space="preserve"> </w:t>
            </w:r>
            <w:proofErr w:type="gramStart"/>
            <w:r>
              <w:rPr>
                <w:rStyle w:val="hps"/>
                <w:lang w:val="en-US"/>
              </w:rPr>
              <w:t>on</w:t>
            </w:r>
            <w:proofErr w:type="gramEnd"/>
            <w:r>
              <w:rPr>
                <w:color w:val="000000"/>
                <w:lang w:val="en-US"/>
              </w:rPr>
              <w:t xml:space="preserve"> Methods of determination of membrane stability. </w:t>
            </w:r>
            <w:r>
              <w:rPr>
                <w:b/>
                <w:bCs/>
                <w:color w:val="000000"/>
                <w:lang w:val="en-US"/>
              </w:rPr>
              <w:t>Carry out type</w:t>
            </w:r>
            <w:r>
              <w:rPr>
                <w:b/>
                <w:bCs/>
                <w:color w:val="000000"/>
                <w:lang w:val="kk-KZ"/>
              </w:rPr>
              <w:t>: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en-US"/>
              </w:rPr>
              <w:t>Presentation</w:t>
            </w:r>
            <w:r>
              <w:rPr>
                <w:color w:val="000000"/>
                <w:lang w:val="kk-KZ"/>
              </w:rPr>
              <w:t>.</w:t>
            </w:r>
          </w:p>
        </w:tc>
      </w:tr>
      <w:tr w:rsidR="00E0797F" w:rsidTr="00E0797F">
        <w:tc>
          <w:tcPr>
            <w:tcW w:w="3114" w:type="dxa"/>
          </w:tcPr>
          <w:p w:rsidR="00E0797F" w:rsidRDefault="00E0797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565" w:type="dxa"/>
          </w:tcPr>
          <w:p w:rsidR="00E0797F" w:rsidRDefault="00E0797F" w:rsidP="00E0797F">
            <w:pPr>
              <w:jc w:val="both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Style w:val="hps"/>
                <w:i/>
                <w:color w:val="333333"/>
                <w:lang w:val="en-US"/>
              </w:rPr>
              <w:t>Assignments</w:t>
            </w:r>
            <w:r>
              <w:rPr>
                <w:i/>
                <w:lang w:val="en-US"/>
              </w:rPr>
              <w:t xml:space="preserve"> </w:t>
            </w:r>
            <w:r>
              <w:rPr>
                <w:rStyle w:val="hps"/>
                <w:i/>
                <w:lang w:val="en-US"/>
              </w:rPr>
              <w:t>for the CDS</w:t>
            </w:r>
            <w:r>
              <w:rPr>
                <w:rStyle w:val="hps"/>
                <w:lang w:val="en-US"/>
              </w:rPr>
              <w:t xml:space="preserve"> 2. </w:t>
            </w:r>
            <w:r>
              <w:rPr>
                <w:bCs/>
                <w:lang w:val="en-US"/>
              </w:rPr>
              <w:t xml:space="preserve">Describe enzyme activity analysis by </w:t>
            </w:r>
            <w:r>
              <w:rPr>
                <w:bCs/>
                <w:lang w:val="en-GB"/>
              </w:rPr>
              <w:t>electrophoresis.</w:t>
            </w:r>
            <w:r>
              <w:rPr>
                <w:bCs/>
                <w:lang w:val="en-US"/>
              </w:rPr>
              <w:t xml:space="preserve"> Show preparative gel electrophoresis in protein study.  Calculation of molecular mass from SDS gels Describe</w:t>
            </w:r>
            <w:r>
              <w:rPr>
                <w:bCs/>
                <w:lang w:val="en-GB"/>
              </w:rPr>
              <w:t xml:space="preserve"> methods in study of </w:t>
            </w:r>
            <w:r>
              <w:rPr>
                <w:bCs/>
                <w:lang w:val="en-US"/>
              </w:rPr>
              <w:t>proteins</w:t>
            </w:r>
            <w:r>
              <w:rPr>
                <w:bCs/>
                <w:lang w:val="en-US"/>
              </w:rPr>
              <w:t xml:space="preserve"> separation according to distinct physical properties</w:t>
            </w:r>
            <w:r>
              <w:rPr>
                <w:lang w:val="kk-KZ"/>
              </w:rPr>
              <w:t>.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Determine</w:t>
            </w:r>
            <w:r>
              <w:rPr>
                <w:bCs/>
                <w:sz w:val="22"/>
                <w:szCs w:val="22"/>
                <w:lang w:val="en-US"/>
              </w:rPr>
              <w:t xml:space="preserve"> protein precipitation methods</w:t>
            </w:r>
            <w:r>
              <w:rPr>
                <w:i/>
                <w:iCs/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E0797F" w:rsidRDefault="00E0797F" w:rsidP="00E0797F">
            <w:pPr>
              <w:jc w:val="both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3. Methods of determination of membrane stability. </w:t>
            </w:r>
          </w:p>
          <w:p w:rsidR="00E0797F" w:rsidRPr="00E0797F" w:rsidRDefault="00E0797F" w:rsidP="00E0797F">
            <w:pPr>
              <w:jc w:val="both"/>
              <w:rPr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en-US"/>
              </w:rPr>
              <w:t>Carry out type</w:t>
            </w:r>
            <w:r>
              <w:rPr>
                <w:b/>
                <w:bCs/>
                <w:color w:val="000000"/>
                <w:lang w:val="kk-KZ"/>
              </w:rPr>
              <w:t>: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en-US"/>
              </w:rPr>
              <w:t>Presentation</w:t>
            </w:r>
            <w:r>
              <w:rPr>
                <w:color w:val="000000"/>
                <w:lang w:val="kk-KZ"/>
              </w:rPr>
              <w:t>.</w:t>
            </w:r>
          </w:p>
        </w:tc>
      </w:tr>
      <w:tr w:rsidR="00E0797F" w:rsidTr="00E0797F">
        <w:tc>
          <w:tcPr>
            <w:tcW w:w="3114" w:type="dxa"/>
          </w:tcPr>
          <w:p w:rsidR="00E0797F" w:rsidRDefault="00E0797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565" w:type="dxa"/>
          </w:tcPr>
          <w:p w:rsidR="00E0797F" w:rsidRDefault="00E0797F" w:rsidP="00E0797F">
            <w:pPr>
              <w:rPr>
                <w:lang w:val="en-US"/>
              </w:rPr>
            </w:pPr>
            <w:r w:rsidRPr="00834F48">
              <w:rPr>
                <w:rStyle w:val="hps"/>
                <w:i/>
                <w:color w:val="333333"/>
                <w:lang w:val="en-US"/>
              </w:rPr>
              <w:t>Assignments</w:t>
            </w:r>
            <w:r w:rsidRPr="00834F48">
              <w:rPr>
                <w:i/>
                <w:lang w:val="en-US"/>
              </w:rPr>
              <w:t xml:space="preserve"> </w:t>
            </w:r>
            <w:r w:rsidRPr="00834F48">
              <w:rPr>
                <w:rStyle w:val="hps"/>
                <w:i/>
                <w:lang w:val="en-US"/>
              </w:rPr>
              <w:t>for the CDS 3.</w:t>
            </w:r>
            <w:r>
              <w:rPr>
                <w:rStyle w:val="hps"/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>
              <w:rPr>
                <w:rStyle w:val="hps"/>
                <w:color w:val="222222"/>
                <w:lang w:val="en-US"/>
              </w:rPr>
              <w:t>rinciples</w:t>
            </w:r>
            <w:r>
              <w:rPr>
                <w:iCs/>
                <w:lang w:val="en-US"/>
              </w:rPr>
              <w:t xml:space="preserve"> of isoelectric focusing (IEF) to separate proteins based on their isoelectric points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preparation of </w:t>
            </w:r>
            <w:r>
              <w:rPr>
                <w:bCs/>
                <w:lang w:val="en-US"/>
              </w:rPr>
              <w:t>gel in protein study. Calculation of molecular mass from SDS gels</w:t>
            </w:r>
            <w:r>
              <w:rPr>
                <w:bCs/>
                <w:lang w:val="en-US"/>
              </w:rPr>
              <w:t xml:space="preserve"> in </w:t>
            </w:r>
            <w:r>
              <w:rPr>
                <w:iCs/>
                <w:lang w:val="en-US"/>
              </w:rPr>
              <w:t>isoelectric focusing (IEF)</w:t>
            </w:r>
            <w:r>
              <w:rPr>
                <w:bCs/>
                <w:lang w:val="en-US"/>
              </w:rPr>
              <w:t xml:space="preserve">. </w:t>
            </w:r>
            <w:r>
              <w:rPr>
                <w:b/>
                <w:bCs/>
                <w:color w:val="000000"/>
                <w:lang w:val="en-US"/>
              </w:rPr>
              <w:t>Carry out type</w:t>
            </w:r>
            <w:r>
              <w:rPr>
                <w:b/>
                <w:bCs/>
                <w:color w:val="000000"/>
                <w:lang w:val="kk-KZ"/>
              </w:rPr>
              <w:t>: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en-US"/>
              </w:rPr>
              <w:t>Presentation</w:t>
            </w:r>
            <w:r>
              <w:rPr>
                <w:color w:val="000000"/>
                <w:lang w:val="kk-KZ"/>
              </w:rPr>
              <w:t>.</w:t>
            </w:r>
          </w:p>
        </w:tc>
      </w:tr>
      <w:tr w:rsidR="00E0797F" w:rsidTr="00E0797F">
        <w:tc>
          <w:tcPr>
            <w:tcW w:w="3114" w:type="dxa"/>
          </w:tcPr>
          <w:p w:rsidR="00E0797F" w:rsidRDefault="00E0797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565" w:type="dxa"/>
          </w:tcPr>
          <w:p w:rsidR="00487C7B" w:rsidRPr="00487C7B" w:rsidRDefault="00834F48" w:rsidP="00487C7B">
            <w:pPr>
              <w:spacing w:line="254" w:lineRule="auto"/>
              <w:rPr>
                <w:lang w:val="en-US"/>
              </w:rPr>
            </w:pPr>
            <w:r w:rsidRPr="00487C7B">
              <w:rPr>
                <w:rStyle w:val="hps"/>
                <w:i/>
                <w:color w:val="333333"/>
                <w:lang w:val="en-US"/>
              </w:rPr>
              <w:t>Assignments</w:t>
            </w:r>
            <w:r w:rsidRPr="00487C7B">
              <w:rPr>
                <w:i/>
                <w:lang w:val="en-US"/>
              </w:rPr>
              <w:t xml:space="preserve"> </w:t>
            </w:r>
            <w:r w:rsidRPr="00487C7B">
              <w:rPr>
                <w:rStyle w:val="hps"/>
                <w:i/>
                <w:lang w:val="en-US"/>
              </w:rPr>
              <w:t>for the CDS 4.</w:t>
            </w:r>
            <w:r w:rsidRPr="00487C7B">
              <w:rPr>
                <w:bCs/>
                <w:lang w:val="en-US"/>
              </w:rPr>
              <w:t xml:space="preserve"> Molecular methods of s</w:t>
            </w:r>
            <w:r w:rsidRPr="00487C7B">
              <w:rPr>
                <w:rStyle w:val="hps"/>
                <w:color w:val="222222"/>
                <w:lang w:val="en-US"/>
              </w:rPr>
              <w:t>tructural and functional organization</w:t>
            </w:r>
            <w:r w:rsidRPr="00487C7B">
              <w:rPr>
                <w:rStyle w:val="shorttext"/>
                <w:rFonts w:eastAsia="Calibri"/>
                <w:color w:val="222222"/>
                <w:lang w:val="en-US"/>
              </w:rPr>
              <w:t xml:space="preserve"> </w:t>
            </w:r>
            <w:r w:rsidRPr="00487C7B">
              <w:rPr>
                <w:rStyle w:val="hps"/>
                <w:color w:val="222222"/>
                <w:lang w:val="en-US"/>
              </w:rPr>
              <w:t xml:space="preserve">of </w:t>
            </w:r>
            <w:proofErr w:type="gramStart"/>
            <w:r w:rsidRPr="00487C7B">
              <w:rPr>
                <w:rStyle w:val="hps"/>
                <w:color w:val="222222"/>
                <w:lang w:val="en-US"/>
              </w:rPr>
              <w:t>genes</w:t>
            </w:r>
            <w:r w:rsidRPr="00487C7B">
              <w:rPr>
                <w:bCs/>
                <w:lang w:val="en-US"/>
              </w:rPr>
              <w:t xml:space="preserve">  and</w:t>
            </w:r>
            <w:proofErr w:type="gramEnd"/>
            <w:r w:rsidRPr="00487C7B">
              <w:rPr>
                <w:bCs/>
                <w:lang w:val="en-US"/>
              </w:rPr>
              <w:t xml:space="preserve"> genome</w:t>
            </w:r>
            <w:r w:rsidRPr="00487C7B">
              <w:rPr>
                <w:bCs/>
                <w:lang w:val="en-US"/>
              </w:rPr>
              <w:t>.</w:t>
            </w:r>
            <w:r w:rsidR="00487C7B" w:rsidRPr="00487C7B">
              <w:rPr>
                <w:bCs/>
                <w:lang w:val="en-US"/>
              </w:rPr>
              <w:t xml:space="preserve"> </w:t>
            </w:r>
            <w:r w:rsidR="00487C7B" w:rsidRPr="00487C7B">
              <w:rPr>
                <w:bCs/>
                <w:lang w:val="en-US"/>
              </w:rPr>
              <w:t>Protocols of Real-Time PCR</w:t>
            </w:r>
          </w:p>
          <w:p w:rsidR="00487C7B" w:rsidRPr="00487C7B" w:rsidRDefault="00487C7B" w:rsidP="00487C7B">
            <w:pPr>
              <w:spacing w:line="254" w:lineRule="auto"/>
              <w:rPr>
                <w:lang w:val="en-US"/>
              </w:rPr>
            </w:pPr>
            <w:r w:rsidRPr="00487C7B">
              <w:rPr>
                <w:bCs/>
                <w:lang w:val="en-US"/>
              </w:rPr>
              <w:t>Protocols</w:t>
            </w:r>
            <w:r w:rsidRPr="00487C7B">
              <w:rPr>
                <w:bCs/>
                <w:i/>
                <w:iCs/>
                <w:lang w:val="en-US"/>
              </w:rPr>
              <w:t xml:space="preserve"> Allele-specific PCR</w:t>
            </w:r>
          </w:p>
          <w:p w:rsidR="00487C7B" w:rsidRPr="00487C7B" w:rsidRDefault="00487C7B" w:rsidP="00487C7B">
            <w:pPr>
              <w:spacing w:line="254" w:lineRule="auto"/>
              <w:rPr>
                <w:lang w:val="en-US"/>
              </w:rPr>
            </w:pPr>
            <w:r w:rsidRPr="00487C7B">
              <w:rPr>
                <w:bCs/>
                <w:lang w:val="en-US"/>
              </w:rPr>
              <w:t>Protocols</w:t>
            </w:r>
            <w:r w:rsidRPr="00487C7B">
              <w:rPr>
                <w:bCs/>
                <w:i/>
                <w:iCs/>
                <w:lang w:val="en-US"/>
              </w:rPr>
              <w:t xml:space="preserve"> Convective PCR</w:t>
            </w:r>
          </w:p>
          <w:p w:rsidR="00487C7B" w:rsidRPr="00487C7B" w:rsidRDefault="00487C7B" w:rsidP="00487C7B">
            <w:pPr>
              <w:spacing w:line="254" w:lineRule="auto"/>
              <w:rPr>
                <w:lang w:val="en-US"/>
              </w:rPr>
            </w:pPr>
            <w:r w:rsidRPr="00487C7B">
              <w:rPr>
                <w:bCs/>
                <w:lang w:val="en-US"/>
              </w:rPr>
              <w:t xml:space="preserve">Protocols of </w:t>
            </w:r>
            <w:r w:rsidRPr="00487C7B">
              <w:rPr>
                <w:bCs/>
                <w:i/>
                <w:iCs/>
                <w:lang w:val="en-US"/>
              </w:rPr>
              <w:t>Asymmetric PCR</w:t>
            </w:r>
          </w:p>
          <w:p w:rsidR="00E0797F" w:rsidRDefault="00487C7B" w:rsidP="00487C7B">
            <w:pPr>
              <w:spacing w:line="254" w:lineRule="auto"/>
              <w:rPr>
                <w:lang w:val="en-US"/>
              </w:rPr>
            </w:pPr>
            <w:r w:rsidRPr="00487C7B">
              <w:rPr>
                <w:bCs/>
                <w:lang w:val="en-US"/>
              </w:rPr>
              <w:t xml:space="preserve">Protocols of </w:t>
            </w:r>
            <w:r w:rsidRPr="00487C7B">
              <w:rPr>
                <w:i/>
                <w:iCs/>
                <w:lang w:val="en-US"/>
              </w:rPr>
              <w:t>Dial-out PCR</w:t>
            </w:r>
          </w:p>
        </w:tc>
      </w:tr>
      <w:tr w:rsidR="00E0797F" w:rsidTr="00E0797F">
        <w:tc>
          <w:tcPr>
            <w:tcW w:w="3114" w:type="dxa"/>
          </w:tcPr>
          <w:p w:rsidR="00E0797F" w:rsidRDefault="00834F4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565" w:type="dxa"/>
          </w:tcPr>
          <w:p w:rsidR="00E0797F" w:rsidRDefault="00834F48" w:rsidP="00487C7B">
            <w:pPr>
              <w:rPr>
                <w:lang w:val="en-US"/>
              </w:rPr>
            </w:pPr>
            <w:r>
              <w:rPr>
                <w:rStyle w:val="hps"/>
                <w:i/>
                <w:color w:val="333333"/>
                <w:lang w:val="en-US"/>
              </w:rPr>
              <w:t>Assignments</w:t>
            </w:r>
            <w:r>
              <w:rPr>
                <w:i/>
                <w:lang w:val="en-US"/>
              </w:rPr>
              <w:t xml:space="preserve"> </w:t>
            </w:r>
            <w:r>
              <w:rPr>
                <w:rStyle w:val="hps"/>
                <w:i/>
                <w:lang w:val="en-US"/>
              </w:rPr>
              <w:t>for the CDS 5</w:t>
            </w:r>
            <w:r>
              <w:rPr>
                <w:rStyle w:val="hps"/>
                <w:lang w:val="en-US"/>
              </w:rPr>
              <w:t xml:space="preserve">. Methods </w:t>
            </w:r>
            <w:proofErr w:type="gramStart"/>
            <w:r w:rsidRPr="00487C7B">
              <w:rPr>
                <w:rStyle w:val="hps"/>
                <w:lang w:val="en-US"/>
              </w:rPr>
              <w:t xml:space="preserve">of </w:t>
            </w:r>
            <w:r w:rsidR="00487C7B" w:rsidRPr="00487C7B">
              <w:rPr>
                <w:bCs/>
                <w:lang w:val="en-US"/>
              </w:rPr>
              <w:t xml:space="preserve"> study</w:t>
            </w:r>
            <w:proofErr w:type="gramEnd"/>
            <w:r w:rsidR="00487C7B" w:rsidRPr="00487C7B">
              <w:rPr>
                <w:bCs/>
                <w:lang w:val="en-US"/>
              </w:rPr>
              <w:t xml:space="preserve"> of</w:t>
            </w:r>
            <w:r w:rsidR="00487C7B" w:rsidRPr="00487C7B">
              <w:rPr>
                <w:b/>
                <w:bCs/>
                <w:lang w:val="en-US"/>
              </w:rPr>
              <w:t xml:space="preserve"> </w:t>
            </w:r>
            <w:r w:rsidR="00487C7B" w:rsidRPr="00487C7B">
              <w:rPr>
                <w:bCs/>
                <w:lang w:val="en-US"/>
              </w:rPr>
              <w:t xml:space="preserve"> transcriptional factors</w:t>
            </w:r>
            <w:r w:rsidR="00487C7B" w:rsidRPr="00487C7B">
              <w:rPr>
                <w:rStyle w:val="hps"/>
                <w:lang w:val="en-US"/>
              </w:rPr>
              <w:t xml:space="preserve"> </w:t>
            </w:r>
            <w:r w:rsidR="00487C7B">
              <w:rPr>
                <w:rStyle w:val="hps"/>
                <w:lang w:val="en-US"/>
              </w:rPr>
              <w:t xml:space="preserve">and </w:t>
            </w:r>
            <w:r w:rsidRPr="00487C7B">
              <w:rPr>
                <w:rStyle w:val="hps"/>
                <w:lang w:val="en-US"/>
              </w:rPr>
              <w:t>nucleic acids s</w:t>
            </w:r>
            <w:r w:rsidRPr="00487C7B">
              <w:rPr>
                <w:lang w:val="en-US"/>
              </w:rPr>
              <w:t xml:space="preserve">taining. </w:t>
            </w:r>
            <w:r w:rsidRPr="00487C7B">
              <w:rPr>
                <w:rStyle w:val="hps"/>
                <w:lang w:val="en-US"/>
              </w:rPr>
              <w:t>Use of molecular markers in</w:t>
            </w:r>
            <w:r>
              <w:rPr>
                <w:rStyle w:val="hps"/>
                <w:lang w:val="en-US"/>
              </w:rPr>
              <w:t xml:space="preserve"> improvement of living </w:t>
            </w:r>
            <w:proofErr w:type="gramStart"/>
            <w:r>
              <w:rPr>
                <w:rStyle w:val="hps"/>
                <w:lang w:val="en-US"/>
              </w:rPr>
              <w:t>organisms</w:t>
            </w:r>
            <w:proofErr w:type="gramEnd"/>
            <w:r w:rsidR="00487C7B">
              <w:rPr>
                <w:rStyle w:val="hps"/>
                <w:lang w:val="en-US"/>
              </w:rPr>
              <w:t xml:space="preserve"> traits.</w:t>
            </w:r>
          </w:p>
        </w:tc>
      </w:tr>
      <w:tr w:rsidR="00E0797F" w:rsidTr="00E0797F">
        <w:tc>
          <w:tcPr>
            <w:tcW w:w="3114" w:type="dxa"/>
          </w:tcPr>
          <w:p w:rsidR="00E0797F" w:rsidRDefault="00834F4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565" w:type="dxa"/>
          </w:tcPr>
          <w:p w:rsidR="00E0797F" w:rsidRDefault="00834F48" w:rsidP="001D29F1">
            <w:pPr>
              <w:rPr>
                <w:lang w:val="en-US"/>
              </w:rPr>
            </w:pPr>
            <w:r>
              <w:rPr>
                <w:rStyle w:val="hps"/>
                <w:i/>
                <w:color w:val="333333"/>
                <w:lang w:val="en-US"/>
              </w:rPr>
              <w:t>Assignments</w:t>
            </w:r>
            <w:r>
              <w:rPr>
                <w:i/>
                <w:lang w:val="en-US"/>
              </w:rPr>
              <w:t xml:space="preserve"> </w:t>
            </w:r>
            <w:r>
              <w:rPr>
                <w:rStyle w:val="hps"/>
                <w:i/>
                <w:lang w:val="en-US"/>
              </w:rPr>
              <w:t>for the CDS 6.</w:t>
            </w:r>
            <w:r>
              <w:rPr>
                <w:rStyle w:val="hps"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Mutation and genetic variation as modern approach, the use, advantage and   disadvantage.</w:t>
            </w:r>
            <w:r w:rsidR="001D29F1">
              <w:rPr>
                <w:bCs/>
                <w:lang w:val="en-US"/>
              </w:rPr>
              <w:t xml:space="preserve"> </w:t>
            </w:r>
            <w:r w:rsidR="001D29F1">
              <w:rPr>
                <w:bCs/>
                <w:lang w:val="en-US"/>
              </w:rPr>
              <w:t>Practical applications of induced mutagenesis</w:t>
            </w:r>
          </w:p>
        </w:tc>
      </w:tr>
    </w:tbl>
    <w:p w:rsidR="00897AF7" w:rsidRPr="00897AF7" w:rsidRDefault="00897AF7">
      <w:pPr>
        <w:rPr>
          <w:lang w:val="en-US"/>
        </w:rPr>
      </w:pPr>
    </w:p>
    <w:sectPr w:rsidR="00897AF7" w:rsidRPr="00897A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90AFF"/>
    <w:multiLevelType w:val="hybridMultilevel"/>
    <w:tmpl w:val="3280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F7"/>
    <w:rsid w:val="000F0714"/>
    <w:rsid w:val="001A5D6A"/>
    <w:rsid w:val="001D29F1"/>
    <w:rsid w:val="00217A7E"/>
    <w:rsid w:val="00487C7B"/>
    <w:rsid w:val="00834F48"/>
    <w:rsid w:val="00897AF7"/>
    <w:rsid w:val="008C29D2"/>
    <w:rsid w:val="00B1694F"/>
    <w:rsid w:val="00E0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CA9CE-07AB-4436-B947-CDC2C938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97AF7"/>
  </w:style>
  <w:style w:type="character" w:customStyle="1" w:styleId="shorttext">
    <w:name w:val="short_text"/>
    <w:basedOn w:val="a0"/>
    <w:rsid w:val="00897AF7"/>
  </w:style>
  <w:style w:type="paragraph" w:styleId="a3">
    <w:name w:val="List Paragraph"/>
    <w:basedOn w:val="a"/>
    <w:uiPriority w:val="34"/>
    <w:qFormat/>
    <w:rsid w:val="001A5D6A"/>
    <w:pPr>
      <w:spacing w:after="160" w:line="256" w:lineRule="auto"/>
      <w:ind w:left="720"/>
      <w:contextualSpacing/>
    </w:pPr>
    <w:rPr>
      <w:rFonts w:eastAsiaTheme="minorHAnsi" w:cs="Arial"/>
      <w:color w:val="222222"/>
      <w:kern w:val="2"/>
      <w:sz w:val="28"/>
      <w:szCs w:val="28"/>
      <w:lang w:eastAsia="en-US"/>
    </w:rPr>
  </w:style>
  <w:style w:type="table" w:styleId="a4">
    <w:name w:val="Table Grid"/>
    <w:basedOn w:val="a1"/>
    <w:uiPriority w:val="39"/>
    <w:rsid w:val="00E07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Aizada Alnurova</cp:lastModifiedBy>
  <cp:revision>5</cp:revision>
  <dcterms:created xsi:type="dcterms:W3CDTF">2020-03-26T10:26:00Z</dcterms:created>
  <dcterms:modified xsi:type="dcterms:W3CDTF">2020-03-26T10:40:00Z</dcterms:modified>
</cp:coreProperties>
</file>